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318D0" w14:textId="18FD8FC8" w:rsidR="00874286" w:rsidRPr="00223AE1" w:rsidRDefault="00223AE1" w:rsidP="00223AE1">
      <w:pPr>
        <w:pStyle w:val="NoSpacing"/>
        <w:jc w:val="center"/>
        <w:rPr>
          <w:b/>
          <w:sz w:val="40"/>
          <w:szCs w:val="40"/>
          <w:u w:val="single"/>
        </w:rPr>
      </w:pPr>
      <w:r w:rsidRPr="00223AE1">
        <w:rPr>
          <w:b/>
          <w:sz w:val="40"/>
          <w:szCs w:val="40"/>
          <w:u w:val="single"/>
        </w:rPr>
        <w:t>Berry Phase</w:t>
      </w:r>
    </w:p>
    <w:p w14:paraId="020AAE4C" w14:textId="6ECD44B1" w:rsidR="00223AE1" w:rsidRPr="00223AE1" w:rsidRDefault="00223AE1" w:rsidP="00223AE1">
      <w:pPr>
        <w:pStyle w:val="NoSpacing"/>
        <w:rPr>
          <w:sz w:val="24"/>
          <w:szCs w:val="24"/>
        </w:rPr>
      </w:pPr>
    </w:p>
    <w:p w14:paraId="53D12526" w14:textId="198B1479" w:rsidR="00223AE1" w:rsidRPr="00223AE1" w:rsidRDefault="00223AE1" w:rsidP="00223AE1">
      <w:pPr>
        <w:pStyle w:val="NoSpacing"/>
        <w:rPr>
          <w:sz w:val="24"/>
          <w:szCs w:val="24"/>
        </w:rPr>
      </w:pPr>
    </w:p>
    <w:p w14:paraId="079D2E7E" w14:textId="5C5659AB" w:rsidR="00223AE1" w:rsidRDefault="00223AE1" w:rsidP="00223AE1">
      <w:pPr>
        <w:pStyle w:val="NoSpacing"/>
        <w:rPr>
          <w:sz w:val="24"/>
          <w:szCs w:val="24"/>
        </w:rPr>
      </w:pPr>
      <w:bookmarkStart w:id="0" w:name="_GoBack"/>
      <w:bookmarkEnd w:id="0"/>
      <w:r>
        <w:rPr>
          <w:sz w:val="24"/>
          <w:szCs w:val="24"/>
        </w:rPr>
        <w:t>Say we have an H(x,p,</w:t>
      </w:r>
      <w:r>
        <w:rPr>
          <w:rFonts w:ascii="Calibri" w:hAnsi="Calibri" w:cs="Calibri"/>
          <w:sz w:val="24"/>
          <w:szCs w:val="24"/>
        </w:rPr>
        <w:t>λ</w:t>
      </w:r>
      <w:r>
        <w:rPr>
          <w:sz w:val="24"/>
          <w:szCs w:val="24"/>
          <w:vertAlign w:val="subscript"/>
        </w:rPr>
        <w:t>j</w:t>
      </w:r>
      <w:r>
        <w:rPr>
          <w:sz w:val="24"/>
          <w:szCs w:val="24"/>
        </w:rPr>
        <w:t xml:space="preserve">), where </w:t>
      </w:r>
      <w:r>
        <w:rPr>
          <w:rFonts w:ascii="Calibri" w:hAnsi="Calibri" w:cs="Calibri"/>
          <w:sz w:val="24"/>
          <w:szCs w:val="24"/>
        </w:rPr>
        <w:t>λ</w:t>
      </w:r>
      <w:r>
        <w:rPr>
          <w:sz w:val="24"/>
          <w:szCs w:val="24"/>
          <w:vertAlign w:val="subscript"/>
        </w:rPr>
        <w:t>j</w:t>
      </w:r>
      <w:r>
        <w:rPr>
          <w:sz w:val="24"/>
          <w:szCs w:val="24"/>
        </w:rPr>
        <w:t xml:space="preserve"> are some set of parameters like V, B, etc. – perhaps the external parameters we might otherwise consider to entire into the thermodynamic description of the system.  Let the eigenstates of this system be called |n(</w:t>
      </w:r>
      <w:r>
        <w:rPr>
          <w:rFonts w:ascii="Calibri" w:hAnsi="Calibri" w:cs="Calibri"/>
          <w:sz w:val="24"/>
          <w:szCs w:val="24"/>
        </w:rPr>
        <w:t>λ</w:t>
      </w:r>
      <w:r>
        <w:rPr>
          <w:sz w:val="24"/>
          <w:szCs w:val="24"/>
          <w:vertAlign w:val="subscript"/>
        </w:rPr>
        <w:t>j</w:t>
      </w:r>
      <w:r>
        <w:rPr>
          <w:sz w:val="24"/>
          <w:szCs w:val="24"/>
        </w:rPr>
        <w:t>)&gt;.  If we slowly (adiabatically) change these parameters, then the system should remain in whatever eigenstate</w:t>
      </w:r>
      <w:r w:rsidR="00EE1F1F">
        <w:rPr>
          <w:sz w:val="24"/>
          <w:szCs w:val="24"/>
        </w:rPr>
        <w:t xml:space="preserve"> (or if the eigenstate is part of a degenerate set, then it should remain somewhere in that degenerate space)</w:t>
      </w:r>
      <w:r>
        <w:rPr>
          <w:sz w:val="24"/>
          <w:szCs w:val="24"/>
        </w:rPr>
        <w:t xml:space="preserve"> it was in (unless we get level crossing, in which case we cannot say what state the system will jump into when the levels reseparate).  But the phase of the system should also change while this happens.  </w:t>
      </w:r>
      <w:r w:rsidR="00EE1F1F">
        <w:rPr>
          <w:sz w:val="24"/>
          <w:szCs w:val="24"/>
        </w:rPr>
        <w:t>In the special case of a non-degenerate eigenstate, w</w:t>
      </w:r>
      <w:r>
        <w:rPr>
          <w:sz w:val="24"/>
          <w:szCs w:val="24"/>
        </w:rPr>
        <w:t>e can compute this phase change</w:t>
      </w:r>
      <w:r w:rsidR="00EE1F1F">
        <w:rPr>
          <w:sz w:val="24"/>
          <w:szCs w:val="24"/>
        </w:rPr>
        <w:t xml:space="preserve"> with the Schrodinger equation….i</w:t>
      </w:r>
      <w:r w:rsidR="00DC40D1">
        <w:rPr>
          <w:sz w:val="24"/>
          <w:szCs w:val="24"/>
        </w:rPr>
        <w:t xml:space="preserve">n the particular case where we begin and end at the same state, this is called the Berry phase.  </w:t>
      </w:r>
      <w:r>
        <w:rPr>
          <w:sz w:val="24"/>
          <w:szCs w:val="24"/>
        </w:rPr>
        <w:t>Turns out it is:</w:t>
      </w:r>
    </w:p>
    <w:p w14:paraId="09B6039A" w14:textId="26B4D355" w:rsidR="00223AE1" w:rsidRDefault="00223AE1" w:rsidP="00223AE1">
      <w:pPr>
        <w:pStyle w:val="NoSpacing"/>
        <w:rPr>
          <w:sz w:val="24"/>
          <w:szCs w:val="24"/>
        </w:rPr>
      </w:pPr>
    </w:p>
    <w:bookmarkStart w:id="1" w:name="_Hlk17465377"/>
    <w:p w14:paraId="021C3A0D" w14:textId="1C514E10" w:rsidR="00223AE1" w:rsidRPr="00223AE1" w:rsidRDefault="009D64B1" w:rsidP="00223AE1">
      <w:pPr>
        <w:pStyle w:val="NoSpacing"/>
        <w:rPr>
          <w:sz w:val="24"/>
          <w:szCs w:val="24"/>
        </w:rPr>
      </w:pPr>
      <w:r w:rsidRPr="00DC40D1">
        <w:rPr>
          <w:position w:val="-24"/>
          <w:sz w:val="24"/>
          <w:szCs w:val="24"/>
        </w:rPr>
        <w:object w:dxaOrig="7060" w:dyaOrig="620" w14:anchorId="4D37AA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8pt;height:31.2pt" o:ole="" filled="t" fillcolor="#cfc">
            <v:imagedata r:id="rId4" o:title=""/>
          </v:shape>
          <o:OLEObject Type="Embed" ProgID="Equation.DSMT4" ShapeID="_x0000_i1025" DrawAspect="Content" ObjectID="_1631887125" r:id="rId5"/>
        </w:object>
      </w:r>
      <w:bookmarkEnd w:id="1"/>
      <w:r w:rsidR="00223AE1">
        <w:rPr>
          <w:sz w:val="24"/>
          <w:szCs w:val="24"/>
        </w:rPr>
        <w:t xml:space="preserve"> </w:t>
      </w:r>
    </w:p>
    <w:p w14:paraId="7C0FB34D" w14:textId="015E7BC0" w:rsidR="00223AE1" w:rsidRPr="00223AE1" w:rsidRDefault="00223AE1" w:rsidP="00223AE1">
      <w:pPr>
        <w:pStyle w:val="NoSpacing"/>
        <w:rPr>
          <w:sz w:val="24"/>
          <w:szCs w:val="24"/>
        </w:rPr>
      </w:pPr>
    </w:p>
    <w:p w14:paraId="20BE2215" w14:textId="1C189666" w:rsidR="00223AE1" w:rsidRDefault="005F328B" w:rsidP="00223AE1">
      <w:pPr>
        <w:pStyle w:val="NoSpacing"/>
        <w:rPr>
          <w:sz w:val="24"/>
          <w:szCs w:val="24"/>
        </w:rPr>
      </w:pPr>
      <w:r>
        <w:rPr>
          <w:sz w:val="24"/>
          <w:szCs w:val="24"/>
        </w:rPr>
        <w:t xml:space="preserve">So the phase </w:t>
      </w:r>
      <w:r w:rsidRPr="005F328B">
        <w:rPr>
          <w:i/>
          <w:sz w:val="24"/>
          <w:szCs w:val="24"/>
        </w:rPr>
        <w:t>will</w:t>
      </w:r>
      <w:r>
        <w:rPr>
          <w:sz w:val="24"/>
          <w:szCs w:val="24"/>
        </w:rPr>
        <w:t xml:space="preserve"> depend on the path taken through parameter space, but shouldn’t depend on the time taken to perform the path (as long as it’s adiabatic enough I guess).  </w:t>
      </w:r>
      <w:r w:rsidR="00DC40D1">
        <w:rPr>
          <w:sz w:val="24"/>
          <w:szCs w:val="24"/>
        </w:rPr>
        <w:t xml:space="preserve">We can write this another way.  Define the curl of </w:t>
      </w:r>
      <w:r w:rsidR="00DC40D1" w:rsidRPr="00DC40D1">
        <w:rPr>
          <w:b/>
          <w:sz w:val="24"/>
          <w:szCs w:val="24"/>
        </w:rPr>
        <w:t>A</w:t>
      </w:r>
      <w:r w:rsidR="00DC40D1">
        <w:rPr>
          <w:sz w:val="24"/>
          <w:szCs w:val="24"/>
        </w:rPr>
        <w:t xml:space="preserve"> as:</w:t>
      </w:r>
    </w:p>
    <w:p w14:paraId="4FA03556" w14:textId="502AFC82" w:rsidR="00223AE1" w:rsidRDefault="00223AE1" w:rsidP="00223AE1">
      <w:pPr>
        <w:pStyle w:val="NoSpacing"/>
        <w:rPr>
          <w:sz w:val="24"/>
          <w:szCs w:val="24"/>
        </w:rPr>
      </w:pPr>
    </w:p>
    <w:p w14:paraId="1C25E005" w14:textId="6324696A" w:rsidR="00223AE1" w:rsidRDefault="005F328B" w:rsidP="00223AE1">
      <w:pPr>
        <w:pStyle w:val="NoSpacing"/>
        <w:rPr>
          <w:sz w:val="24"/>
          <w:szCs w:val="24"/>
        </w:rPr>
      </w:pPr>
      <w:r w:rsidRPr="005F328B">
        <w:rPr>
          <w:position w:val="-34"/>
          <w:sz w:val="24"/>
          <w:szCs w:val="24"/>
        </w:rPr>
        <w:object w:dxaOrig="1540" w:dyaOrig="760" w14:anchorId="6A11E9AA">
          <v:shape id="_x0000_i1026" type="#_x0000_t75" style="width:76.8pt;height:37.8pt" o:ole="">
            <v:imagedata r:id="rId6" o:title=""/>
          </v:shape>
          <o:OLEObject Type="Embed" ProgID="Equation.DSMT4" ShapeID="_x0000_i1026" DrawAspect="Content" ObjectID="_1631887126" r:id="rId7"/>
        </w:object>
      </w:r>
    </w:p>
    <w:p w14:paraId="26F91E09" w14:textId="3E020614" w:rsidR="00DC40D1" w:rsidRDefault="00DC40D1" w:rsidP="00223AE1">
      <w:pPr>
        <w:pStyle w:val="NoSpacing"/>
        <w:rPr>
          <w:sz w:val="24"/>
          <w:szCs w:val="24"/>
        </w:rPr>
      </w:pPr>
    </w:p>
    <w:p w14:paraId="6EAFF9B1" w14:textId="1E81DFB3" w:rsidR="00DC40D1" w:rsidRDefault="00DC40D1" w:rsidP="00223AE1">
      <w:pPr>
        <w:pStyle w:val="NoSpacing"/>
        <w:rPr>
          <w:sz w:val="24"/>
          <w:szCs w:val="24"/>
        </w:rPr>
      </w:pPr>
      <w:r>
        <w:rPr>
          <w:sz w:val="24"/>
          <w:szCs w:val="24"/>
        </w:rPr>
        <w:t>Then,</w:t>
      </w:r>
    </w:p>
    <w:p w14:paraId="776F98DC" w14:textId="0F483107" w:rsidR="00DC40D1" w:rsidRDefault="00DC40D1" w:rsidP="00223AE1">
      <w:pPr>
        <w:pStyle w:val="NoSpacing"/>
        <w:rPr>
          <w:sz w:val="24"/>
          <w:szCs w:val="24"/>
        </w:rPr>
      </w:pPr>
    </w:p>
    <w:p w14:paraId="5F8D8BD1" w14:textId="5481A84F" w:rsidR="00DC40D1" w:rsidRDefault="009D64B1" w:rsidP="00223AE1">
      <w:pPr>
        <w:pStyle w:val="NoSpacing"/>
      </w:pPr>
      <w:r w:rsidRPr="00DC40D1">
        <w:rPr>
          <w:position w:val="-16"/>
        </w:rPr>
        <w:object w:dxaOrig="1180" w:dyaOrig="440" w14:anchorId="4ABC1FF8">
          <v:shape id="_x0000_i1027" type="#_x0000_t75" style="width:58.8pt;height:22.2pt" o:ole="">
            <v:imagedata r:id="rId8" o:title=""/>
          </v:shape>
          <o:OLEObject Type="Embed" ProgID="Equation.DSMT4" ShapeID="_x0000_i1027" DrawAspect="Content" ObjectID="_1631887127" r:id="rId9"/>
        </w:object>
      </w:r>
    </w:p>
    <w:p w14:paraId="1B146767" w14:textId="78CF9216" w:rsidR="00DC40D1" w:rsidRDefault="00DC40D1" w:rsidP="00223AE1">
      <w:pPr>
        <w:pStyle w:val="NoSpacing"/>
      </w:pPr>
    </w:p>
    <w:p w14:paraId="4E24549F" w14:textId="3A02A3EC" w:rsidR="00DC40D1" w:rsidRDefault="005F328B" w:rsidP="00223AE1">
      <w:pPr>
        <w:pStyle w:val="NoSpacing"/>
        <w:rPr>
          <w:sz w:val="24"/>
          <w:szCs w:val="24"/>
        </w:rPr>
      </w:pPr>
      <w:r w:rsidRPr="005F328B">
        <w:rPr>
          <w:sz w:val="24"/>
          <w:szCs w:val="24"/>
        </w:rPr>
        <w:t>Not sure what dS</w:t>
      </w:r>
      <w:r w:rsidRPr="005F328B">
        <w:rPr>
          <w:sz w:val="24"/>
          <w:szCs w:val="24"/>
          <w:vertAlign w:val="superscript"/>
        </w:rPr>
        <w:t>ij</w:t>
      </w:r>
      <w:r w:rsidRPr="005F328B">
        <w:rPr>
          <w:sz w:val="24"/>
          <w:szCs w:val="24"/>
        </w:rPr>
        <w:t xml:space="preserve"> means exactly</w:t>
      </w:r>
      <w:r w:rsidR="009D64B1">
        <w:rPr>
          <w:sz w:val="24"/>
          <w:szCs w:val="24"/>
        </w:rPr>
        <w:t>, but integral extends over the surface bounded by the closed path above</w:t>
      </w:r>
      <w:r w:rsidRPr="005F328B">
        <w:rPr>
          <w:sz w:val="24"/>
          <w:szCs w:val="24"/>
        </w:rPr>
        <w:t xml:space="preserve">. </w:t>
      </w:r>
      <w:r>
        <w:rPr>
          <w:sz w:val="24"/>
          <w:szCs w:val="24"/>
        </w:rPr>
        <w:t xml:space="preserve"> Anyway, it seems to be a general theorem that evaluating this integral over a closed surface yields: </w:t>
      </w:r>
      <w:r w:rsidRPr="005F328B">
        <w:rPr>
          <w:sz w:val="24"/>
          <w:szCs w:val="24"/>
        </w:rPr>
        <w:t xml:space="preserve"> </w:t>
      </w:r>
    </w:p>
    <w:p w14:paraId="76CE88D6" w14:textId="6C647885" w:rsidR="005F328B" w:rsidRDefault="005F328B" w:rsidP="00223AE1">
      <w:pPr>
        <w:pStyle w:val="NoSpacing"/>
        <w:rPr>
          <w:sz w:val="24"/>
          <w:szCs w:val="24"/>
        </w:rPr>
      </w:pPr>
    </w:p>
    <w:p w14:paraId="65706D0B" w14:textId="45301F79" w:rsidR="005F328B" w:rsidRDefault="009D64B1" w:rsidP="00223AE1">
      <w:pPr>
        <w:pStyle w:val="NoSpacing"/>
        <w:rPr>
          <w:sz w:val="28"/>
          <w:szCs w:val="28"/>
        </w:rPr>
      </w:pPr>
      <w:r w:rsidRPr="00DC40D1">
        <w:rPr>
          <w:position w:val="-16"/>
        </w:rPr>
        <w:object w:dxaOrig="1540" w:dyaOrig="440" w14:anchorId="2F4E4F3C">
          <v:shape id="_x0000_i1028" type="#_x0000_t75" style="width:76.8pt;height:22.2pt" o:ole="" filled="t" fillcolor="#cfc">
            <v:imagedata r:id="rId10" o:title=""/>
          </v:shape>
          <o:OLEObject Type="Embed" ProgID="Equation.DSMT4" ShapeID="_x0000_i1028" DrawAspect="Content" ObjectID="_1631887128" r:id="rId11"/>
        </w:object>
      </w:r>
    </w:p>
    <w:p w14:paraId="4BDB6A3F" w14:textId="76289279" w:rsidR="005F328B" w:rsidRDefault="005F328B" w:rsidP="00223AE1">
      <w:pPr>
        <w:pStyle w:val="NoSpacing"/>
        <w:rPr>
          <w:sz w:val="28"/>
          <w:szCs w:val="28"/>
        </w:rPr>
      </w:pPr>
    </w:p>
    <w:p w14:paraId="0D882F62" w14:textId="2A2860E8" w:rsidR="005F328B" w:rsidRPr="005F328B" w:rsidRDefault="005F328B" w:rsidP="00223AE1">
      <w:pPr>
        <w:pStyle w:val="NoSpacing"/>
        <w:rPr>
          <w:sz w:val="24"/>
          <w:szCs w:val="24"/>
        </w:rPr>
      </w:pPr>
      <w:r w:rsidRPr="005F328B">
        <w:rPr>
          <w:sz w:val="24"/>
          <w:szCs w:val="24"/>
        </w:rPr>
        <w:t xml:space="preserve">where </w:t>
      </w:r>
      <w:r>
        <w:rPr>
          <w:sz w:val="24"/>
          <w:szCs w:val="24"/>
        </w:rPr>
        <w:t xml:space="preserve">C is an integer called the Chern #.  </w:t>
      </w:r>
    </w:p>
    <w:sectPr w:rsidR="005F328B" w:rsidRPr="005F32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893"/>
    <w:rsid w:val="00087059"/>
    <w:rsid w:val="00133166"/>
    <w:rsid w:val="00223AE1"/>
    <w:rsid w:val="003B2AF0"/>
    <w:rsid w:val="004349E5"/>
    <w:rsid w:val="00434A71"/>
    <w:rsid w:val="004B39D7"/>
    <w:rsid w:val="00581959"/>
    <w:rsid w:val="005A4893"/>
    <w:rsid w:val="005F328B"/>
    <w:rsid w:val="007452CC"/>
    <w:rsid w:val="007C79FB"/>
    <w:rsid w:val="00874286"/>
    <w:rsid w:val="008F4027"/>
    <w:rsid w:val="009D5095"/>
    <w:rsid w:val="009D64B1"/>
    <w:rsid w:val="00DC40D1"/>
    <w:rsid w:val="00EE1F1F"/>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7A4F8"/>
  <w15:chartTrackingRefBased/>
  <w15:docId w15:val="{1E814CE6-461D-47B7-BD2C-1E86C2A66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23AE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26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5" Type="http://schemas.openxmlformats.org/officeDocument/2006/relationships/oleObject" Target="embeddings/oleObject1.bin"/><Relationship Id="rId10" Type="http://schemas.openxmlformats.org/officeDocument/2006/relationships/image" Target="media/image4.wmf"/><Relationship Id="rId4" Type="http://schemas.openxmlformats.org/officeDocument/2006/relationships/image" Target="media/image1.wmf"/><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227</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3</cp:revision>
  <dcterms:created xsi:type="dcterms:W3CDTF">2019-08-23T18:58:00Z</dcterms:created>
  <dcterms:modified xsi:type="dcterms:W3CDTF">2019-10-06T21:11:00Z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